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77" w:rsidRPr="00662A77" w:rsidRDefault="00662A77" w:rsidP="00774EC2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7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62A77" w:rsidRPr="00662A77" w:rsidRDefault="00662A77" w:rsidP="00774EC2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7">
        <w:rPr>
          <w:rFonts w:ascii="Times New Roman" w:hAnsi="Times New Roman" w:cs="Times New Roman"/>
          <w:b/>
          <w:sz w:val="28"/>
          <w:szCs w:val="28"/>
        </w:rPr>
        <w:t>об организации антимонопольного комплаенса в администрации Омсукчанского городского округа по итогам работы</w:t>
      </w:r>
    </w:p>
    <w:p w:rsidR="00662A77" w:rsidRDefault="00662A77" w:rsidP="00774EC2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7">
        <w:rPr>
          <w:rFonts w:ascii="Times New Roman" w:hAnsi="Times New Roman" w:cs="Times New Roman"/>
          <w:b/>
          <w:sz w:val="28"/>
          <w:szCs w:val="28"/>
        </w:rPr>
        <w:t>за период 2020 – 2022 годы</w:t>
      </w:r>
    </w:p>
    <w:p w:rsidR="00A50E90" w:rsidRPr="002C5B58" w:rsidRDefault="00A50E90" w:rsidP="00774EC2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Деятельность по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 осуществляется в соответствии с Национальным планом («Дорожной картой») развития конкуренции в Российской Федерации на 2021-2025 годы, утвержденным Распоряжением Правительства Российской Федерации от 02.09.2021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62A77">
        <w:rPr>
          <w:rFonts w:ascii="Times New Roman" w:hAnsi="Times New Roman" w:cs="Times New Roman"/>
          <w:sz w:val="28"/>
          <w:szCs w:val="28"/>
        </w:rPr>
        <w:t xml:space="preserve"> № 2424-р, Распоряжением Правительства РФ от 18.10.2018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77">
        <w:rPr>
          <w:rFonts w:ascii="Times New Roman" w:hAnsi="Times New Roman" w:cs="Times New Roman"/>
          <w:sz w:val="28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Магаданской области от 31.01.2019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62A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77">
        <w:rPr>
          <w:rFonts w:ascii="Times New Roman" w:hAnsi="Times New Roman" w:cs="Times New Roman"/>
          <w:sz w:val="28"/>
          <w:szCs w:val="28"/>
        </w:rPr>
        <w:t>17-р «Об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Магаданской области», постановлением администрации Омсукчанского городского округа от 15.04.2019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62A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77">
        <w:rPr>
          <w:rFonts w:ascii="Times New Roman" w:hAnsi="Times New Roman" w:cs="Times New Roman"/>
          <w:sz w:val="28"/>
          <w:szCs w:val="28"/>
        </w:rPr>
        <w:t xml:space="preserve">238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округа», регулирующими отношения, связанные с защитой конкуренции. 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77">
        <w:rPr>
          <w:rFonts w:ascii="Times New Roman" w:hAnsi="Times New Roman" w:cs="Times New Roman"/>
          <w:sz w:val="28"/>
          <w:szCs w:val="28"/>
        </w:rPr>
        <w:t>При проведении анализа сведений о наличии нарушений антимонопольного законодательства в Администрации за предыдущие 3 года установлены следующие нарушения: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1.</w:t>
      </w:r>
      <w:r w:rsidRPr="00662A77">
        <w:rPr>
          <w:rFonts w:ascii="Times New Roman" w:hAnsi="Times New Roman" w:cs="Times New Roman"/>
          <w:sz w:val="28"/>
          <w:szCs w:val="28"/>
        </w:rPr>
        <w:tab/>
        <w:t>ч. 1 ст. 15 Федерального закона от 26.07.2006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62A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77">
        <w:rPr>
          <w:rFonts w:ascii="Times New Roman" w:hAnsi="Times New Roman" w:cs="Times New Roman"/>
          <w:sz w:val="28"/>
          <w:szCs w:val="28"/>
        </w:rPr>
        <w:t xml:space="preserve">135-ФЗ «О защите конкуренции», выразившееся в издании администрацией Омсукчанского городского округа постановлений «Об оказании имущественной поддержки субъекту малого предпринимательства», «О предоставлении муниципального имущества в безвозмездное пользование», «О принятии имущества в Казну муниципального образования «Омсукчанский городской округ» и предоставления его в безвозмездное пользование» и заключение комитетом по управлению муниципальным имуществом в соответствии с указанными постановлениями договора аренды </w:t>
      </w:r>
      <w:r w:rsidRPr="00662A77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с ООО «Водоснабжение», договоров безвозмездного пользования с ООО «Водоснабжение» без проведения соответствующих конкурентных процедур, что создало необоснованные преимущества отдельному хозяйствующему субъекту по сравнению с другими хозяйствующими субъектами, в связи с чем, Управлением Федеральной антимонопольной службы по Магаданской области вынесены предупреждения № 4 и № 5 от 15.04.2022г. о необходимости прекращения указанных действий в течение 4 месяцев с момента получения предупреждений путем: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отмены указанных постановлений;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принятия мер по возврату в муниципальную собственность имущества, переданного ООО «Водоснабжение» по договору аренды и договорам безвозмездного пользования;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осуществление передачи муниципального имущества путем организации конкурентных процедур.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Данное нарушение антимонопольного законодательства представляет собой высокий уровень рисков.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Указанные нарушения были устранены в течение установленного срока. Предупреждения исполнены в полном объеме. Комитетом по управлению муниципальным имуществом проведен открытый конкурс на право заключения концессионного соглашения в отношении объектов холодного водоснабжения и водоотведения. На участие в конкурсе была подана одна заявка от ООО «Водоснабжение», в связи с чем, открытый конкурс был признан несостоявшимся. От ООО «Водоснабжение» поступило предложение о заключении концессионного соглашения на условиях, соответствующих конкурсной документации. Концессионное соглашение направлено на подписание.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Для исключения аналогичных причин возникновения рисков нарушения антимонопольного законодательства, разработан и утвержден главой городского округа План мероприятий («дорожная карта») по снижению рисков нарушения антимонопольного законодательства на 2023 год. План мероприятий включает в себя проведение следующих мероприятий: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контроль процесса подготовки конкурсной документации при проведении и заключении концессионных соглашений;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lastRenderedPageBreak/>
        <w:t>- совершенствование системы контроля за соблюдением действующего антимонопольного законодательства;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анализ выявленных нарушений и практики применения антимонопольного законодательства;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анализ правовых актов и проектов правовых актов, при необходимости – внесение в них изменений и дополнений;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- мониторинг и анализ практики применения антимонопольного законодательства.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 xml:space="preserve">Благодаря проведенной работе по устранению выявленных нарушений антимонопольного законодательства, остаточные риски отсутствуют. Вероятность повторного возникновения подобных нарушений – низкая. 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Администрацией Омсукчанского городского округа в истекшем периоде (предыдущие 3 года</w:t>
      </w:r>
      <w:r w:rsidR="00D06AC6">
        <w:rPr>
          <w:rFonts w:ascii="Times New Roman" w:hAnsi="Times New Roman" w:cs="Times New Roman"/>
          <w:sz w:val="28"/>
          <w:szCs w:val="28"/>
        </w:rPr>
        <w:t>) предоставлено 4 финансовых и 4</w:t>
      </w:r>
      <w:r w:rsidRPr="00662A77">
        <w:rPr>
          <w:rFonts w:ascii="Times New Roman" w:hAnsi="Times New Roman" w:cs="Times New Roman"/>
          <w:sz w:val="28"/>
          <w:szCs w:val="28"/>
        </w:rPr>
        <w:t xml:space="preserve"> имущественных поддержек, в том числе:</w:t>
      </w:r>
    </w:p>
    <w:p w:rsidR="00662A77" w:rsidRPr="00D06AC6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 xml:space="preserve">2020г. – 1 </w:t>
      </w:r>
      <w:r w:rsidRPr="00D06AC6">
        <w:rPr>
          <w:rFonts w:ascii="Times New Roman" w:hAnsi="Times New Roman" w:cs="Times New Roman"/>
          <w:sz w:val="28"/>
          <w:szCs w:val="28"/>
        </w:rPr>
        <w:t>финансовая;</w:t>
      </w:r>
    </w:p>
    <w:p w:rsidR="00662A77" w:rsidRPr="00D06AC6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C6">
        <w:rPr>
          <w:rFonts w:ascii="Times New Roman" w:hAnsi="Times New Roman" w:cs="Times New Roman"/>
          <w:sz w:val="28"/>
          <w:szCs w:val="28"/>
        </w:rPr>
        <w:t>2021г. – 2 финансовые, 2 имущественные;</w:t>
      </w:r>
    </w:p>
    <w:p w:rsidR="00662A77" w:rsidRPr="00D06AC6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C6">
        <w:rPr>
          <w:rFonts w:ascii="Times New Roman" w:hAnsi="Times New Roman" w:cs="Times New Roman"/>
          <w:sz w:val="28"/>
          <w:szCs w:val="28"/>
        </w:rPr>
        <w:t xml:space="preserve">2022г. – 1 финансовая, </w:t>
      </w:r>
      <w:r w:rsidR="00D06AC6" w:rsidRPr="00D06AC6">
        <w:rPr>
          <w:rFonts w:ascii="Times New Roman" w:hAnsi="Times New Roman" w:cs="Times New Roman"/>
          <w:sz w:val="28"/>
          <w:szCs w:val="28"/>
        </w:rPr>
        <w:t>2 имущественные</w:t>
      </w:r>
      <w:r w:rsidRPr="00D06AC6">
        <w:rPr>
          <w:rFonts w:ascii="Times New Roman" w:hAnsi="Times New Roman" w:cs="Times New Roman"/>
          <w:sz w:val="28"/>
          <w:szCs w:val="28"/>
        </w:rPr>
        <w:t>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C6">
        <w:rPr>
          <w:rFonts w:ascii="Times New Roman" w:hAnsi="Times New Roman" w:cs="Times New Roman"/>
          <w:sz w:val="28"/>
          <w:szCs w:val="28"/>
        </w:rPr>
        <w:t>В результате мониторинга и анализа применения</w:t>
      </w:r>
      <w:r w:rsidRPr="00662A77">
        <w:rPr>
          <w:rFonts w:ascii="Times New Roman" w:hAnsi="Times New Roman" w:cs="Times New Roman"/>
          <w:sz w:val="28"/>
          <w:szCs w:val="28"/>
        </w:rPr>
        <w:t xml:space="preserve"> в администрации антимонопольного законодательства нарушений в области финансовой и имущественной поддержки субъектов малого и среднего предпринимательства не выявлено.</w:t>
      </w:r>
    </w:p>
    <w:p w:rsidR="000A3464" w:rsidRDefault="000A3464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464">
        <w:rPr>
          <w:rFonts w:ascii="Times New Roman" w:hAnsi="Times New Roman" w:cs="Times New Roman"/>
          <w:sz w:val="28"/>
          <w:szCs w:val="28"/>
        </w:rPr>
        <w:t>В 2022 году были проведены плановые проверки по контролю в сфере закупок в 5 учреждениях Омсукчанского городского округа. В том числе, проверена обязанность Заказчиков осуществлять закупки у субъектов малого предпринимательства, социально ориентированных некоммерческих организаций в объеме не менее чем двадцать пять процентов совокупного годового объема закупок в соответствии с частью 1 статьи 30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 В результате проведенных контрольных мероприятий и анализа отчетов об объеме закупок, размещенных в единой информационной системе, нарушений не выявлено.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 xml:space="preserve">При проведении анализа муниципальных нормативных правовых актов администрации Омсукчанского городского округа (далее – МНПА), установлены постановления администрации, содержащие положения, противоречащие антимонопольному законодательству. В целях устранения </w:t>
      </w:r>
      <w:r w:rsidRPr="00662A77">
        <w:rPr>
          <w:rFonts w:ascii="Times New Roman" w:hAnsi="Times New Roman" w:cs="Times New Roman"/>
          <w:sz w:val="28"/>
          <w:szCs w:val="28"/>
        </w:rPr>
        <w:lastRenderedPageBreak/>
        <w:t xml:space="preserve">допущенных нарушений, 2 постановления администрации Омсукчанского городского округа отменены; в 3 постановления администрации внесены изменения в виде утраты силы положений, противоречащих антимонопольному законодательству. 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 xml:space="preserve">В 2022 году в Арбитражном суде Магаданской области рассматривалось 5 дел о признании недействительными договоров аренды муниципального имущества, заключенных на основании МНПА, в которых установлены положения, противоречащие антимонопольному законодательству. На основании решений Арбитражного суда Магаданской области 5 договоров, заключенных на основании постановлений, содержащих положения, противоречащие антимонопольному законодательству, признаны недействительными: 4 договора - без применения последствий недействительности сделки, 1 – с применением последствий недействительности сделки. 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 xml:space="preserve">Проведен расчет ключевых показателей эффективности функционирования антимонопольного комплаенса в администрации Омсукчанского городского округа. 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По итогам подсчетов, эффективность функционирования антимонопольного комплаенса в администрации Омсукчанского городского округа составляет 30 баллов, что является низким показателем.</w:t>
      </w:r>
    </w:p>
    <w:p w:rsidR="00662A77" w:rsidRPr="00662A77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Жалобы на решения, действия органа местного самоуправления Омсукчанского городского округа, ведущие к ограничению конкуренции, поданные в органы прокуратуры, в адрес уполномоченного по защите прав предпринимателей в муниципальном образовании «Омсукчанский городской округ», не подавались.</w:t>
      </w:r>
    </w:p>
    <w:p w:rsidR="00CE1F54" w:rsidRDefault="00662A77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77">
        <w:rPr>
          <w:rFonts w:ascii="Times New Roman" w:hAnsi="Times New Roman" w:cs="Times New Roman"/>
          <w:sz w:val="28"/>
          <w:szCs w:val="28"/>
        </w:rPr>
        <w:t>Утверждена Карта рисков нарушения антимонопольного законодательства и План мероприятий («дорожная карта») по снижению рисков нарушения антимонопольного законодательства на 2023 год, которые размещены на официальном сайте муниципального образования «Омсукчанский городской округ» в сети Интернет.</w:t>
      </w:r>
    </w:p>
    <w:p w:rsidR="00905148" w:rsidRDefault="00905148" w:rsidP="00774EC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148" w:rsidRDefault="00905148" w:rsidP="00905148">
      <w:pPr>
        <w:spacing w:after="0" w:line="312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sectPr w:rsidR="00905148" w:rsidSect="00A50E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57"/>
    <w:multiLevelType w:val="hybridMultilevel"/>
    <w:tmpl w:val="7C9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4231"/>
    <w:multiLevelType w:val="hybridMultilevel"/>
    <w:tmpl w:val="CE345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60261"/>
    <w:multiLevelType w:val="hybridMultilevel"/>
    <w:tmpl w:val="E4AC2780"/>
    <w:lvl w:ilvl="0" w:tplc="CFF09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A6596"/>
    <w:multiLevelType w:val="hybridMultilevel"/>
    <w:tmpl w:val="FA64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46570"/>
    <w:multiLevelType w:val="hybridMultilevel"/>
    <w:tmpl w:val="F4144790"/>
    <w:lvl w:ilvl="0" w:tplc="C666DE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A63666"/>
    <w:multiLevelType w:val="hybridMultilevel"/>
    <w:tmpl w:val="080E7284"/>
    <w:lvl w:ilvl="0" w:tplc="6B1C7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5B2C7A"/>
    <w:multiLevelType w:val="hybridMultilevel"/>
    <w:tmpl w:val="F2BC96C0"/>
    <w:lvl w:ilvl="0" w:tplc="648E2B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145563"/>
    <w:multiLevelType w:val="hybridMultilevel"/>
    <w:tmpl w:val="2666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F"/>
    <w:rsid w:val="000213D7"/>
    <w:rsid w:val="00025A1D"/>
    <w:rsid w:val="00031CF8"/>
    <w:rsid w:val="00045435"/>
    <w:rsid w:val="00045B43"/>
    <w:rsid w:val="00056D85"/>
    <w:rsid w:val="00066E0F"/>
    <w:rsid w:val="00074746"/>
    <w:rsid w:val="000861EA"/>
    <w:rsid w:val="000A3464"/>
    <w:rsid w:val="000D2725"/>
    <w:rsid w:val="000E71EE"/>
    <w:rsid w:val="000F566D"/>
    <w:rsid w:val="00111D99"/>
    <w:rsid w:val="00113373"/>
    <w:rsid w:val="00137D16"/>
    <w:rsid w:val="00190B44"/>
    <w:rsid w:val="00192C0C"/>
    <w:rsid w:val="00195739"/>
    <w:rsid w:val="001A6A9B"/>
    <w:rsid w:val="00204FF2"/>
    <w:rsid w:val="002346FC"/>
    <w:rsid w:val="00237E7D"/>
    <w:rsid w:val="002411C7"/>
    <w:rsid w:val="0025439E"/>
    <w:rsid w:val="0026769F"/>
    <w:rsid w:val="00272DAB"/>
    <w:rsid w:val="002A78C5"/>
    <w:rsid w:val="002C5B58"/>
    <w:rsid w:val="002C7344"/>
    <w:rsid w:val="002F09B6"/>
    <w:rsid w:val="00336DBD"/>
    <w:rsid w:val="0035624F"/>
    <w:rsid w:val="00363183"/>
    <w:rsid w:val="00372E0C"/>
    <w:rsid w:val="00381A26"/>
    <w:rsid w:val="003952D9"/>
    <w:rsid w:val="003A00D2"/>
    <w:rsid w:val="003E33BD"/>
    <w:rsid w:val="00420F96"/>
    <w:rsid w:val="00434B3E"/>
    <w:rsid w:val="004415E5"/>
    <w:rsid w:val="00454881"/>
    <w:rsid w:val="00467187"/>
    <w:rsid w:val="004A4F85"/>
    <w:rsid w:val="004A6A96"/>
    <w:rsid w:val="004C4023"/>
    <w:rsid w:val="004E19C8"/>
    <w:rsid w:val="004E2EB9"/>
    <w:rsid w:val="004E49C2"/>
    <w:rsid w:val="004E75CF"/>
    <w:rsid w:val="004F4D7B"/>
    <w:rsid w:val="0050290B"/>
    <w:rsid w:val="0051014D"/>
    <w:rsid w:val="00511F41"/>
    <w:rsid w:val="005168FF"/>
    <w:rsid w:val="00524560"/>
    <w:rsid w:val="005673AC"/>
    <w:rsid w:val="0057420D"/>
    <w:rsid w:val="00582A70"/>
    <w:rsid w:val="005917B5"/>
    <w:rsid w:val="00591DD4"/>
    <w:rsid w:val="005B1C39"/>
    <w:rsid w:val="005B7025"/>
    <w:rsid w:val="005D44DC"/>
    <w:rsid w:val="005E68DC"/>
    <w:rsid w:val="00606336"/>
    <w:rsid w:val="006142E0"/>
    <w:rsid w:val="00615993"/>
    <w:rsid w:val="0062351C"/>
    <w:rsid w:val="0062363C"/>
    <w:rsid w:val="00631939"/>
    <w:rsid w:val="00637E13"/>
    <w:rsid w:val="0064144D"/>
    <w:rsid w:val="00643CE4"/>
    <w:rsid w:val="00644F4A"/>
    <w:rsid w:val="00653430"/>
    <w:rsid w:val="00662A77"/>
    <w:rsid w:val="00671F75"/>
    <w:rsid w:val="006946F5"/>
    <w:rsid w:val="006A28BA"/>
    <w:rsid w:val="006D5457"/>
    <w:rsid w:val="006E2BEC"/>
    <w:rsid w:val="006E54E0"/>
    <w:rsid w:val="00712FD1"/>
    <w:rsid w:val="00717F9C"/>
    <w:rsid w:val="007205E8"/>
    <w:rsid w:val="00735A05"/>
    <w:rsid w:val="00741AD1"/>
    <w:rsid w:val="00745D7C"/>
    <w:rsid w:val="0075114D"/>
    <w:rsid w:val="00753ACA"/>
    <w:rsid w:val="0075497B"/>
    <w:rsid w:val="00774EC2"/>
    <w:rsid w:val="00780BCE"/>
    <w:rsid w:val="00782B0F"/>
    <w:rsid w:val="00792AE1"/>
    <w:rsid w:val="007A5A3E"/>
    <w:rsid w:val="007C69BB"/>
    <w:rsid w:val="007D1788"/>
    <w:rsid w:val="008179F3"/>
    <w:rsid w:val="00822456"/>
    <w:rsid w:val="00854FBE"/>
    <w:rsid w:val="00867D32"/>
    <w:rsid w:val="0088022E"/>
    <w:rsid w:val="008813F3"/>
    <w:rsid w:val="00895A1B"/>
    <w:rsid w:val="008A3798"/>
    <w:rsid w:val="008D78A6"/>
    <w:rsid w:val="008E48F0"/>
    <w:rsid w:val="008E788C"/>
    <w:rsid w:val="008F528D"/>
    <w:rsid w:val="00905148"/>
    <w:rsid w:val="009110EE"/>
    <w:rsid w:val="0091590F"/>
    <w:rsid w:val="00916C2F"/>
    <w:rsid w:val="009375E0"/>
    <w:rsid w:val="00940C95"/>
    <w:rsid w:val="00941A2D"/>
    <w:rsid w:val="00966E63"/>
    <w:rsid w:val="00986BC7"/>
    <w:rsid w:val="00990253"/>
    <w:rsid w:val="0099326A"/>
    <w:rsid w:val="009A4973"/>
    <w:rsid w:val="009A621A"/>
    <w:rsid w:val="009D1027"/>
    <w:rsid w:val="009E3A12"/>
    <w:rsid w:val="009F28C7"/>
    <w:rsid w:val="009F4648"/>
    <w:rsid w:val="00A050B4"/>
    <w:rsid w:val="00A10523"/>
    <w:rsid w:val="00A301F9"/>
    <w:rsid w:val="00A50E90"/>
    <w:rsid w:val="00A77C5C"/>
    <w:rsid w:val="00A8535E"/>
    <w:rsid w:val="00A91AE2"/>
    <w:rsid w:val="00A921CB"/>
    <w:rsid w:val="00AB6FED"/>
    <w:rsid w:val="00AC03F0"/>
    <w:rsid w:val="00AC7D4B"/>
    <w:rsid w:val="00AD2216"/>
    <w:rsid w:val="00AE3B12"/>
    <w:rsid w:val="00AF23F3"/>
    <w:rsid w:val="00B06E7A"/>
    <w:rsid w:val="00B2161D"/>
    <w:rsid w:val="00B34887"/>
    <w:rsid w:val="00B36CC3"/>
    <w:rsid w:val="00B4119D"/>
    <w:rsid w:val="00B44118"/>
    <w:rsid w:val="00B522BB"/>
    <w:rsid w:val="00B6212D"/>
    <w:rsid w:val="00B729A0"/>
    <w:rsid w:val="00B926AD"/>
    <w:rsid w:val="00B9721E"/>
    <w:rsid w:val="00BB5066"/>
    <w:rsid w:val="00BC0E7E"/>
    <w:rsid w:val="00BC5727"/>
    <w:rsid w:val="00BD542D"/>
    <w:rsid w:val="00BE7B88"/>
    <w:rsid w:val="00BF3E47"/>
    <w:rsid w:val="00BF59AB"/>
    <w:rsid w:val="00C00D8B"/>
    <w:rsid w:val="00C06B6D"/>
    <w:rsid w:val="00C10229"/>
    <w:rsid w:val="00C10B7E"/>
    <w:rsid w:val="00C22AAF"/>
    <w:rsid w:val="00C35A59"/>
    <w:rsid w:val="00C4421D"/>
    <w:rsid w:val="00C85CE0"/>
    <w:rsid w:val="00CC505F"/>
    <w:rsid w:val="00CD5335"/>
    <w:rsid w:val="00CE185F"/>
    <w:rsid w:val="00CE1F54"/>
    <w:rsid w:val="00CF693B"/>
    <w:rsid w:val="00D06AC6"/>
    <w:rsid w:val="00D06E27"/>
    <w:rsid w:val="00D24882"/>
    <w:rsid w:val="00D31B1D"/>
    <w:rsid w:val="00D33DE1"/>
    <w:rsid w:val="00D34971"/>
    <w:rsid w:val="00D36C49"/>
    <w:rsid w:val="00D63646"/>
    <w:rsid w:val="00D74BD1"/>
    <w:rsid w:val="00D80DED"/>
    <w:rsid w:val="00DB5511"/>
    <w:rsid w:val="00DB6130"/>
    <w:rsid w:val="00E14391"/>
    <w:rsid w:val="00E24B75"/>
    <w:rsid w:val="00E5797C"/>
    <w:rsid w:val="00E70EE0"/>
    <w:rsid w:val="00E767BB"/>
    <w:rsid w:val="00EA330A"/>
    <w:rsid w:val="00EA4A8D"/>
    <w:rsid w:val="00EA5C56"/>
    <w:rsid w:val="00EB2AA5"/>
    <w:rsid w:val="00EC0C9C"/>
    <w:rsid w:val="00EE09FD"/>
    <w:rsid w:val="00EF29F8"/>
    <w:rsid w:val="00EF2C49"/>
    <w:rsid w:val="00F2750A"/>
    <w:rsid w:val="00F35635"/>
    <w:rsid w:val="00F436E7"/>
    <w:rsid w:val="00F67469"/>
    <w:rsid w:val="00F72001"/>
    <w:rsid w:val="00F845E4"/>
    <w:rsid w:val="00F87A85"/>
    <w:rsid w:val="00FA2F32"/>
    <w:rsid w:val="00FA328C"/>
    <w:rsid w:val="00FA7AD8"/>
    <w:rsid w:val="00FB0710"/>
    <w:rsid w:val="00FB0996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8F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769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8F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B579-D8B7-4198-B7B8-10DF240D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Савлохова</dc:creator>
  <cp:lastModifiedBy>Юлия Тыщенко</cp:lastModifiedBy>
  <cp:revision>3</cp:revision>
  <cp:lastPrinted>2022-12-27T03:11:00Z</cp:lastPrinted>
  <dcterms:created xsi:type="dcterms:W3CDTF">2023-05-29T22:55:00Z</dcterms:created>
  <dcterms:modified xsi:type="dcterms:W3CDTF">2023-05-29T22:56:00Z</dcterms:modified>
</cp:coreProperties>
</file>